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4A" w:rsidRPr="009378DF" w:rsidRDefault="00B3794A" w:rsidP="00B3794A">
      <w:pPr>
        <w:rPr>
          <w:rFonts w:ascii="彩虹粗仿宋" w:eastAsia="彩虹粗仿宋"/>
          <w:b/>
          <w:color w:val="000000"/>
          <w:sz w:val="32"/>
          <w:szCs w:val="32"/>
        </w:rPr>
      </w:pPr>
      <w:r w:rsidRPr="00EE774A">
        <w:rPr>
          <w:rFonts w:ascii="彩虹粗仿宋" w:eastAsia="彩虹粗仿宋" w:hint="eastAsia"/>
          <w:b/>
          <w:color w:val="000000"/>
          <w:sz w:val="32"/>
          <w:szCs w:val="32"/>
        </w:rPr>
        <w:t>附件</w:t>
      </w:r>
      <w:r>
        <w:rPr>
          <w:rFonts w:ascii="彩虹粗仿宋" w:eastAsia="彩虹粗仿宋" w:hint="eastAsia"/>
          <w:b/>
          <w:color w:val="000000"/>
          <w:sz w:val="32"/>
          <w:szCs w:val="32"/>
        </w:rPr>
        <w:t>7</w:t>
      </w:r>
    </w:p>
    <w:p w:rsidR="00B3794A" w:rsidRDefault="00B3794A" w:rsidP="00B3794A">
      <w:pPr>
        <w:jc w:val="center"/>
        <w:rPr>
          <w:b/>
          <w:color w:val="000000"/>
          <w:sz w:val="32"/>
          <w:szCs w:val="32"/>
        </w:rPr>
      </w:pPr>
      <w:r w:rsidRPr="009378DF">
        <w:rPr>
          <w:rFonts w:hint="eastAsia"/>
          <w:b/>
          <w:color w:val="000000"/>
          <w:sz w:val="32"/>
          <w:szCs w:val="32"/>
        </w:rPr>
        <w:t>“乾元—满溢”</w:t>
      </w:r>
      <w:r>
        <w:rPr>
          <w:rFonts w:hint="eastAsia"/>
          <w:b/>
          <w:color w:val="000000"/>
          <w:sz w:val="32"/>
          <w:szCs w:val="32"/>
        </w:rPr>
        <w:t>18</w:t>
      </w:r>
      <w:r w:rsidRPr="009378DF">
        <w:rPr>
          <w:rFonts w:hint="eastAsia"/>
          <w:b/>
          <w:color w:val="000000"/>
          <w:sz w:val="32"/>
          <w:szCs w:val="32"/>
        </w:rPr>
        <w:t>0</w:t>
      </w:r>
      <w:r w:rsidRPr="009378DF">
        <w:rPr>
          <w:rFonts w:hint="eastAsia"/>
          <w:b/>
          <w:color w:val="000000"/>
          <w:sz w:val="32"/>
          <w:szCs w:val="32"/>
        </w:rPr>
        <w:t>天开放式资产组合型人民币理财产品</w:t>
      </w:r>
    </w:p>
    <w:p w:rsidR="00B3794A" w:rsidRPr="00EE774A" w:rsidRDefault="00B3794A" w:rsidP="00B3794A">
      <w:pPr>
        <w:jc w:val="center"/>
        <w:rPr>
          <w:b/>
          <w:color w:val="000000"/>
          <w:sz w:val="32"/>
          <w:szCs w:val="32"/>
        </w:rPr>
      </w:pPr>
      <w:r w:rsidRPr="009378DF">
        <w:rPr>
          <w:rFonts w:hint="eastAsia"/>
          <w:b/>
          <w:color w:val="000000"/>
          <w:sz w:val="32"/>
          <w:szCs w:val="32"/>
        </w:rPr>
        <w:t>（机构版）</w:t>
      </w:r>
      <w:r w:rsidRPr="00EE774A">
        <w:rPr>
          <w:rFonts w:hint="eastAsia"/>
          <w:b/>
          <w:color w:val="000000"/>
          <w:sz w:val="32"/>
          <w:szCs w:val="32"/>
        </w:rPr>
        <w:t>月度投资管理报告</w:t>
      </w:r>
    </w:p>
    <w:p w:rsidR="00B3794A" w:rsidRPr="00EE774A" w:rsidRDefault="00B3794A" w:rsidP="00B3794A">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A17003">
        <w:rPr>
          <w:rFonts w:ascii="宋体" w:hAnsi="宋体" w:hint="eastAsia"/>
          <w:color w:val="000000"/>
          <w:szCs w:val="21"/>
        </w:rPr>
        <w:t>8</w:t>
      </w:r>
      <w:r w:rsidRPr="00EE774A">
        <w:rPr>
          <w:rFonts w:ascii="宋体" w:hAnsi="宋体" w:hint="eastAsia"/>
          <w:color w:val="000000"/>
          <w:szCs w:val="21"/>
        </w:rPr>
        <w:t>年</w:t>
      </w:r>
      <w:r w:rsidR="000A7F12">
        <w:rPr>
          <w:rFonts w:ascii="宋体" w:hAnsi="宋体" w:hint="eastAsia"/>
          <w:color w:val="000000"/>
          <w:szCs w:val="21"/>
        </w:rPr>
        <w:t>5</w:t>
      </w:r>
      <w:r>
        <w:rPr>
          <w:rFonts w:ascii="宋体" w:hAnsi="宋体" w:hint="eastAsia"/>
          <w:color w:val="000000"/>
          <w:szCs w:val="21"/>
        </w:rPr>
        <w:t>月</w:t>
      </w:r>
      <w:r w:rsidR="000A7F12">
        <w:rPr>
          <w:rFonts w:ascii="宋体" w:hAnsi="宋体" w:hint="eastAsia"/>
          <w:color w:val="000000"/>
          <w:szCs w:val="21"/>
        </w:rPr>
        <w:t>31</w:t>
      </w:r>
      <w:r>
        <w:rPr>
          <w:rFonts w:ascii="宋体" w:hAnsi="宋体" w:hint="eastAsia"/>
          <w:color w:val="000000"/>
          <w:szCs w:val="21"/>
        </w:rPr>
        <w:t xml:space="preserve">日    </w:t>
      </w:r>
    </w:p>
    <w:p w:rsidR="00B3794A" w:rsidRPr="000A55B8" w:rsidRDefault="00667645" w:rsidP="00FC0044">
      <w:pPr>
        <w:ind w:firstLine="420"/>
        <w:rPr>
          <w:rFonts w:ascii="宋体" w:hAnsi="宋体"/>
          <w:color w:val="000000"/>
          <w:sz w:val="28"/>
          <w:szCs w:val="28"/>
        </w:rPr>
      </w:pPr>
      <w:r w:rsidRPr="000A55B8">
        <w:rPr>
          <w:rFonts w:ascii="宋体" w:hAnsi="宋体" w:hint="eastAsia"/>
          <w:color w:val="000000"/>
          <w:sz w:val="28"/>
          <w:szCs w:val="28"/>
        </w:rPr>
        <w:t>“乾元—满溢”</w:t>
      </w:r>
      <w:r>
        <w:rPr>
          <w:rFonts w:ascii="宋体" w:hAnsi="宋体" w:hint="eastAsia"/>
          <w:color w:val="000000"/>
          <w:sz w:val="28"/>
          <w:szCs w:val="28"/>
        </w:rPr>
        <w:t>18</w:t>
      </w:r>
      <w:r w:rsidRPr="000A55B8">
        <w:rPr>
          <w:rFonts w:ascii="宋体" w:hAnsi="宋体" w:hint="eastAsia"/>
          <w:color w:val="000000"/>
          <w:sz w:val="28"/>
          <w:szCs w:val="28"/>
        </w:rPr>
        <w:t>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7</w:t>
      </w:r>
      <w:r w:rsidRPr="00EE774A">
        <w:rPr>
          <w:rFonts w:ascii="宋体" w:hAnsi="宋体" w:hint="eastAsia"/>
          <w:color w:val="000000"/>
          <w:sz w:val="28"/>
          <w:szCs w:val="28"/>
        </w:rPr>
        <w:t>年</w:t>
      </w:r>
      <w:r>
        <w:rPr>
          <w:rFonts w:ascii="宋体" w:hAnsi="宋体" w:hint="eastAsia"/>
          <w:color w:val="000000"/>
          <w:sz w:val="28"/>
          <w:szCs w:val="28"/>
        </w:rPr>
        <w:t>9</w:t>
      </w:r>
      <w:r w:rsidRPr="00EE774A">
        <w:rPr>
          <w:rFonts w:ascii="宋体" w:hAnsi="宋体" w:hint="eastAsia"/>
          <w:color w:val="000000"/>
          <w:sz w:val="28"/>
          <w:szCs w:val="28"/>
        </w:rPr>
        <w:t>月</w:t>
      </w:r>
      <w:r>
        <w:rPr>
          <w:rFonts w:ascii="宋体" w:hAnsi="宋体" w:hint="eastAsia"/>
          <w:color w:val="000000"/>
          <w:sz w:val="28"/>
          <w:szCs w:val="28"/>
        </w:rPr>
        <w:t>15</w:t>
      </w:r>
      <w:r w:rsidRPr="00EE774A">
        <w:rPr>
          <w:rFonts w:ascii="宋体" w:hAnsi="宋体" w:hint="eastAsia"/>
          <w:color w:val="000000"/>
          <w:sz w:val="28"/>
          <w:szCs w:val="28"/>
        </w:rPr>
        <w:t>日正式成立。截至报告日，本产品规模为</w:t>
      </w:r>
      <w:r w:rsidR="00FC0044" w:rsidRPr="00FC0044">
        <w:rPr>
          <w:rFonts w:ascii="宋体" w:hAnsi="宋体" w:hint="eastAsia"/>
          <w:color w:val="000000"/>
          <w:sz w:val="28"/>
          <w:szCs w:val="28"/>
        </w:rPr>
        <w:t>2,086,993,000.00</w:t>
      </w:r>
      <w:r w:rsidR="000A7F12">
        <w:rPr>
          <w:rFonts w:ascii="宋体" w:hAnsi="宋体" w:hint="eastAsia"/>
          <w:color w:val="000000"/>
          <w:sz w:val="28"/>
          <w:szCs w:val="28"/>
        </w:rPr>
        <w:t>元。</w:t>
      </w:r>
    </w:p>
    <w:p w:rsidR="00B3794A" w:rsidRPr="00EE774A" w:rsidRDefault="00B3794A" w:rsidP="00B3794A">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F708A2" w:rsidRPr="00F708A2" w:rsidRDefault="00F708A2" w:rsidP="00F708A2">
      <w:pPr>
        <w:spacing w:line="560" w:lineRule="exact"/>
        <w:ind w:firstLineChars="200" w:firstLine="560"/>
        <w:rPr>
          <w:rFonts w:ascii="宋体" w:hAnsi="宋体" w:hint="eastAsia"/>
          <w:color w:val="000000"/>
          <w:sz w:val="28"/>
          <w:szCs w:val="28"/>
        </w:rPr>
      </w:pPr>
      <w:r>
        <w:rPr>
          <w:rFonts w:ascii="宋体" w:hAnsi="宋体" w:hint="eastAsia"/>
          <w:color w:val="000000"/>
          <w:sz w:val="28"/>
          <w:szCs w:val="28"/>
        </w:rPr>
        <w:t>中国建设银行</w:t>
      </w:r>
      <w:r w:rsidRPr="00F708A2">
        <w:rPr>
          <w:rFonts w:ascii="宋体" w:hAnsi="宋体" w:hint="eastAsia"/>
          <w:color w:val="000000"/>
          <w:sz w:val="28"/>
          <w:szCs w:val="28"/>
        </w:rPr>
        <w:t>于2018年5月17日（含）起，调整“乾元—满溢”180天开放式资产组合型人民币理财产品（机构版）客户预期年化收益率，具体如下表：</w:t>
      </w:r>
    </w:p>
    <w:p w:rsidR="00F708A2" w:rsidRPr="00F708A2" w:rsidRDefault="00F708A2" w:rsidP="00F708A2">
      <w:pPr>
        <w:spacing w:line="560" w:lineRule="exact"/>
        <w:ind w:firstLineChars="200" w:firstLine="560"/>
        <w:rPr>
          <w:rFonts w:ascii="宋体" w:hAnsi="宋体" w:hint="eastAsia"/>
          <w:color w:val="000000"/>
          <w:sz w:val="28"/>
          <w:szCs w:val="28"/>
        </w:rPr>
      </w:pPr>
    </w:p>
    <w:tbl>
      <w:tblPr>
        <w:tblW w:w="4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410"/>
        <w:gridCol w:w="2580"/>
      </w:tblGrid>
      <w:tr w:rsidR="00F708A2" w:rsidRPr="00F708A2" w:rsidTr="00F708A2">
        <w:trPr>
          <w:trHeight w:val="20"/>
          <w:tblHeader/>
          <w:jc w:val="center"/>
        </w:trPr>
        <w:tc>
          <w:tcPr>
            <w:tcW w:w="2023" w:type="dxa"/>
            <w:vAlign w:val="center"/>
            <w:hideMark/>
          </w:tcPr>
          <w:p w:rsidR="00F708A2" w:rsidRPr="00F708A2" w:rsidRDefault="00F708A2" w:rsidP="00DD1F5B">
            <w:pPr>
              <w:adjustRightInd w:val="0"/>
              <w:snapToGrid w:val="0"/>
              <w:jc w:val="center"/>
              <w:rPr>
                <w:rFonts w:ascii="宋体" w:hAnsi="宋体"/>
                <w:color w:val="000000"/>
                <w:sz w:val="24"/>
                <w:szCs w:val="28"/>
              </w:rPr>
            </w:pPr>
            <w:r w:rsidRPr="00F708A2">
              <w:rPr>
                <w:rFonts w:ascii="宋体" w:hAnsi="宋体" w:hint="eastAsia"/>
                <w:color w:val="000000"/>
                <w:sz w:val="24"/>
                <w:szCs w:val="28"/>
              </w:rPr>
              <w:t>档期设置</w:t>
            </w:r>
          </w:p>
        </w:tc>
        <w:tc>
          <w:tcPr>
            <w:tcW w:w="2410" w:type="dxa"/>
            <w:vAlign w:val="center"/>
            <w:hideMark/>
          </w:tcPr>
          <w:p w:rsidR="00F708A2" w:rsidRPr="00F708A2" w:rsidRDefault="00F708A2" w:rsidP="00DD1F5B">
            <w:pPr>
              <w:adjustRightInd w:val="0"/>
              <w:snapToGrid w:val="0"/>
              <w:jc w:val="center"/>
              <w:rPr>
                <w:rFonts w:ascii="宋体" w:hAnsi="宋体"/>
                <w:color w:val="000000"/>
                <w:sz w:val="24"/>
                <w:szCs w:val="28"/>
              </w:rPr>
            </w:pPr>
            <w:r w:rsidRPr="00F708A2">
              <w:rPr>
                <w:rFonts w:ascii="宋体" w:hAnsi="宋体" w:hint="eastAsia"/>
                <w:color w:val="000000"/>
                <w:sz w:val="24"/>
                <w:szCs w:val="28"/>
              </w:rPr>
              <w:t>客户预期年化收益率</w:t>
            </w:r>
          </w:p>
          <w:p w:rsidR="00F708A2" w:rsidRPr="00F708A2" w:rsidRDefault="00F708A2" w:rsidP="00DD1F5B">
            <w:pPr>
              <w:adjustRightInd w:val="0"/>
              <w:snapToGrid w:val="0"/>
              <w:jc w:val="center"/>
              <w:rPr>
                <w:rFonts w:ascii="宋体" w:hAnsi="宋体"/>
                <w:color w:val="000000"/>
                <w:sz w:val="24"/>
                <w:szCs w:val="28"/>
              </w:rPr>
            </w:pPr>
            <w:r w:rsidRPr="00F708A2">
              <w:rPr>
                <w:rFonts w:ascii="宋体" w:hAnsi="宋体" w:hint="eastAsia"/>
                <w:color w:val="000000"/>
                <w:sz w:val="24"/>
                <w:szCs w:val="28"/>
              </w:rPr>
              <w:t>（调整前）</w:t>
            </w:r>
          </w:p>
        </w:tc>
        <w:tc>
          <w:tcPr>
            <w:tcW w:w="2580" w:type="dxa"/>
            <w:hideMark/>
          </w:tcPr>
          <w:p w:rsidR="00F708A2" w:rsidRPr="00F708A2" w:rsidRDefault="00F708A2" w:rsidP="00DD1F5B">
            <w:pPr>
              <w:adjustRightInd w:val="0"/>
              <w:snapToGrid w:val="0"/>
              <w:jc w:val="center"/>
              <w:rPr>
                <w:rFonts w:ascii="宋体" w:hAnsi="宋体"/>
                <w:color w:val="000000"/>
                <w:sz w:val="24"/>
                <w:szCs w:val="28"/>
              </w:rPr>
            </w:pPr>
            <w:r w:rsidRPr="00F708A2">
              <w:rPr>
                <w:rFonts w:ascii="宋体" w:hAnsi="宋体" w:hint="eastAsia"/>
                <w:color w:val="000000"/>
                <w:sz w:val="24"/>
                <w:szCs w:val="28"/>
              </w:rPr>
              <w:t>客户预期年化收益率</w:t>
            </w:r>
          </w:p>
          <w:p w:rsidR="00F708A2" w:rsidRPr="00F708A2" w:rsidRDefault="00F708A2" w:rsidP="00DD1F5B">
            <w:pPr>
              <w:adjustRightInd w:val="0"/>
              <w:snapToGrid w:val="0"/>
              <w:jc w:val="center"/>
              <w:rPr>
                <w:rFonts w:ascii="宋体" w:hAnsi="宋体"/>
                <w:color w:val="000000"/>
                <w:sz w:val="24"/>
                <w:szCs w:val="28"/>
              </w:rPr>
            </w:pPr>
            <w:r w:rsidRPr="00F708A2">
              <w:rPr>
                <w:rFonts w:ascii="宋体" w:hAnsi="宋体" w:hint="eastAsia"/>
                <w:color w:val="000000"/>
                <w:sz w:val="24"/>
                <w:szCs w:val="28"/>
              </w:rPr>
              <w:t>（调整后）</w:t>
            </w:r>
          </w:p>
        </w:tc>
      </w:tr>
      <w:tr w:rsidR="00F708A2" w:rsidRPr="00F708A2" w:rsidTr="00F708A2">
        <w:trPr>
          <w:trHeight w:val="20"/>
          <w:jc w:val="center"/>
        </w:trPr>
        <w:tc>
          <w:tcPr>
            <w:tcW w:w="2023" w:type="dxa"/>
            <w:vAlign w:val="center"/>
            <w:hideMark/>
          </w:tcPr>
          <w:p w:rsidR="00F708A2" w:rsidRPr="00F708A2" w:rsidRDefault="00F708A2" w:rsidP="00DD1F5B">
            <w:pPr>
              <w:adjustRightInd w:val="0"/>
              <w:snapToGrid w:val="0"/>
              <w:jc w:val="center"/>
              <w:rPr>
                <w:rFonts w:ascii="宋体" w:hAnsi="宋体"/>
                <w:color w:val="000000"/>
                <w:sz w:val="24"/>
                <w:szCs w:val="28"/>
              </w:rPr>
            </w:pPr>
            <w:r w:rsidRPr="00F708A2">
              <w:rPr>
                <w:rFonts w:ascii="宋体" w:hAnsi="宋体" w:hint="eastAsia"/>
                <w:color w:val="000000"/>
                <w:sz w:val="24"/>
                <w:szCs w:val="28"/>
              </w:rPr>
              <w:t>180天</w:t>
            </w:r>
          </w:p>
        </w:tc>
        <w:tc>
          <w:tcPr>
            <w:tcW w:w="2410" w:type="dxa"/>
            <w:hideMark/>
          </w:tcPr>
          <w:p w:rsidR="00F708A2" w:rsidRPr="00F708A2" w:rsidRDefault="00F708A2" w:rsidP="00DD1F5B">
            <w:pPr>
              <w:adjustRightInd w:val="0"/>
              <w:snapToGrid w:val="0"/>
              <w:jc w:val="center"/>
              <w:rPr>
                <w:rFonts w:ascii="宋体" w:hAnsi="宋体"/>
                <w:color w:val="000000"/>
                <w:sz w:val="24"/>
                <w:szCs w:val="28"/>
              </w:rPr>
            </w:pPr>
            <w:r w:rsidRPr="00F708A2">
              <w:rPr>
                <w:rFonts w:ascii="宋体" w:hAnsi="宋体"/>
                <w:color w:val="000000"/>
                <w:sz w:val="24"/>
                <w:szCs w:val="28"/>
              </w:rPr>
              <w:t>4.90%</w:t>
            </w:r>
          </w:p>
        </w:tc>
        <w:tc>
          <w:tcPr>
            <w:tcW w:w="2580" w:type="dxa"/>
            <w:hideMark/>
          </w:tcPr>
          <w:p w:rsidR="00F708A2" w:rsidRPr="00F708A2" w:rsidRDefault="00F708A2" w:rsidP="00DD1F5B">
            <w:pPr>
              <w:adjustRightInd w:val="0"/>
              <w:snapToGrid w:val="0"/>
              <w:jc w:val="center"/>
              <w:rPr>
                <w:rFonts w:ascii="宋体" w:hAnsi="宋体"/>
                <w:color w:val="000000"/>
                <w:sz w:val="24"/>
                <w:szCs w:val="28"/>
              </w:rPr>
            </w:pPr>
            <w:r w:rsidRPr="00F708A2">
              <w:rPr>
                <w:rFonts w:ascii="宋体" w:hAnsi="宋体" w:hint="eastAsia"/>
                <w:color w:val="000000"/>
                <w:sz w:val="24"/>
                <w:szCs w:val="28"/>
              </w:rPr>
              <w:t>4.60%</w:t>
            </w:r>
          </w:p>
        </w:tc>
      </w:tr>
    </w:tbl>
    <w:p w:rsidR="00F708A2" w:rsidRPr="00F708A2" w:rsidRDefault="00F708A2" w:rsidP="00F708A2">
      <w:pPr>
        <w:spacing w:line="560" w:lineRule="exact"/>
        <w:rPr>
          <w:rFonts w:ascii="宋体" w:hAnsi="宋体" w:hint="eastAsia"/>
          <w:color w:val="000000"/>
          <w:sz w:val="28"/>
          <w:szCs w:val="28"/>
        </w:rPr>
      </w:pPr>
    </w:p>
    <w:p w:rsidR="00F708A2" w:rsidRPr="000F5B1E" w:rsidRDefault="00F708A2" w:rsidP="00F708A2">
      <w:pPr>
        <w:spacing w:line="560" w:lineRule="exact"/>
        <w:ind w:firstLineChars="200" w:firstLine="560"/>
        <w:rPr>
          <w:rFonts w:ascii="彩虹粗仿宋" w:eastAsia="彩虹粗仿宋" w:hint="eastAsia"/>
          <w:color w:val="000000"/>
          <w:sz w:val="32"/>
          <w:szCs w:val="32"/>
        </w:rPr>
      </w:pPr>
      <w:r w:rsidRPr="00F708A2">
        <w:rPr>
          <w:rFonts w:ascii="宋体" w:hAnsi="宋体" w:hint="eastAsia"/>
          <w:color w:val="000000"/>
          <w:sz w:val="28"/>
          <w:szCs w:val="28"/>
        </w:rPr>
        <w:t>新客户预期年化收益率于2018年5月17日（含）起执行。对于2018年5月17日（不含）前已经购买成功且未赎回的存量投资本金，其中封闭期内的份额仍按照购买确认日当日的客户预期年化收益率计算投资收益，非封闭期内的份额从2018年5月17日（含）起按调整后的预期年化收益率计算投资收益。2018年5月17日（含）后购买的部分自动执行调整后的客户预期年化收益率。但前述情形下的最终投资收益均以我行最终支付的实际年化收益率为准。</w:t>
      </w:r>
    </w:p>
    <w:p w:rsidR="00B3794A" w:rsidRPr="00EE774A" w:rsidRDefault="00B3794A" w:rsidP="00F708A2">
      <w:pPr>
        <w:spacing w:line="560" w:lineRule="exact"/>
        <w:ind w:firstLineChars="200" w:firstLine="560"/>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B3794A" w:rsidRPr="00EE774A" w:rsidRDefault="00B3794A" w:rsidP="00B3794A">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lastRenderedPageBreak/>
        <w:t>二、产品投资组合详细情况</w:t>
      </w:r>
    </w:p>
    <w:p w:rsidR="00B3794A" w:rsidRPr="00EE774A" w:rsidRDefault="00B3794A" w:rsidP="00B3794A">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（一）投资组合的基本情况</w:t>
      </w:r>
    </w:p>
    <w:p w:rsidR="00B3794A" w:rsidRPr="00EE774A" w:rsidRDefault="0068395D" w:rsidP="00B3794A">
      <w:pPr>
        <w:jc w:val="center"/>
        <w:rPr>
          <w:rFonts w:ascii="宋体" w:hAnsi="宋体"/>
          <w:color w:val="000000"/>
          <w:sz w:val="28"/>
          <w:szCs w:val="28"/>
        </w:rPr>
      </w:pPr>
      <w:r>
        <w:rPr>
          <w:noProof/>
        </w:rPr>
        <w:drawing>
          <wp:inline distT="0" distB="0" distL="0" distR="0" wp14:anchorId="19B57BA4" wp14:editId="6FF1CE72">
            <wp:extent cx="3429000" cy="1704975"/>
            <wp:effectExtent l="38100" t="0" r="1905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3794A" w:rsidRPr="00EE774A" w:rsidRDefault="00B3794A" w:rsidP="00B3794A">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B3794A" w:rsidRPr="00EE774A" w:rsidRDefault="0068395D" w:rsidP="00B3794A">
      <w:pPr>
        <w:jc w:val="center"/>
        <w:rPr>
          <w:rFonts w:ascii="宋体" w:hAnsi="宋体"/>
          <w:color w:val="000000"/>
          <w:sz w:val="28"/>
          <w:szCs w:val="28"/>
        </w:rPr>
      </w:pPr>
      <w:r>
        <w:rPr>
          <w:noProof/>
        </w:rPr>
        <w:drawing>
          <wp:inline distT="0" distB="0" distL="0" distR="0" wp14:anchorId="12ECF1FA" wp14:editId="07C5CD4F">
            <wp:extent cx="3705225" cy="2009775"/>
            <wp:effectExtent l="0" t="0" r="9525"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794A" w:rsidRPr="00EE774A" w:rsidRDefault="00B3794A" w:rsidP="00B3794A">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7F5088">
        <w:rPr>
          <w:rFonts w:ascii="宋体" w:hAnsi="宋体" w:hint="eastAsia"/>
          <w:b/>
          <w:color w:val="000000"/>
          <w:sz w:val="28"/>
          <w:szCs w:val="28"/>
        </w:rPr>
        <w:t>融资类资产的行业占比构成及当月增减变化情况</w:t>
      </w:r>
    </w:p>
    <w:p w:rsidR="00B3794A" w:rsidRPr="005622F6" w:rsidRDefault="0068395D" w:rsidP="00B3794A">
      <w:pPr>
        <w:ind w:right="-58"/>
        <w:jc w:val="center"/>
        <w:rPr>
          <w:rFonts w:ascii="宋体" w:hAnsi="宋体"/>
          <w:color w:val="000000"/>
          <w:sz w:val="28"/>
          <w:szCs w:val="28"/>
        </w:rPr>
      </w:pPr>
      <w:r>
        <w:rPr>
          <w:noProof/>
        </w:rPr>
        <w:drawing>
          <wp:inline distT="0" distB="0" distL="0" distR="0" wp14:anchorId="00A87937" wp14:editId="6B1C45EC">
            <wp:extent cx="5274310" cy="2213501"/>
            <wp:effectExtent l="0" t="0" r="21590" b="1587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794A" w:rsidRPr="00EE774A" w:rsidRDefault="00B3794A" w:rsidP="00B3794A">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B3794A" w:rsidRPr="00EE774A" w:rsidRDefault="00B3794A" w:rsidP="00B3794A">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（1）自本产品成立起至本报告日，产品管理人恪尽职守、勤勉尽责、谨慎管理，忠实履行有关法律、行政法规和相关文件的规定。</w:t>
      </w:r>
    </w:p>
    <w:p w:rsidR="00B3794A" w:rsidRPr="00EE774A" w:rsidRDefault="00B3794A" w:rsidP="00B3794A">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w:t>
      </w:r>
      <w:r w:rsidRPr="00EE774A">
        <w:rPr>
          <w:rFonts w:ascii="宋体" w:hAnsi="宋体" w:hint="eastAsia"/>
          <w:color w:val="000000"/>
          <w:sz w:val="28"/>
          <w:szCs w:val="28"/>
        </w:rPr>
        <w:lastRenderedPageBreak/>
        <w:t>或者不利情况。</w:t>
      </w:r>
    </w:p>
    <w:p w:rsidR="00B3794A" w:rsidRPr="00EE774A" w:rsidRDefault="00B3794A" w:rsidP="00B3794A">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B3794A" w:rsidRPr="00EE774A" w:rsidRDefault="00B3794A" w:rsidP="00B3794A">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4E4685" w:rsidRDefault="00B3794A" w:rsidP="00B3794A">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w:t>
      </w:r>
      <w:r w:rsidR="008479F7">
        <w:rPr>
          <w:rFonts w:ascii="宋体" w:hAnsi="宋体" w:hint="eastAsia"/>
          <w:color w:val="000000"/>
          <w:sz w:val="28"/>
          <w:szCs w:val="28"/>
        </w:rPr>
        <w:t>8</w:t>
      </w:r>
      <w:r>
        <w:rPr>
          <w:rFonts w:ascii="宋体" w:hAnsi="宋体" w:hint="eastAsia"/>
          <w:color w:val="000000"/>
          <w:sz w:val="28"/>
          <w:szCs w:val="28"/>
        </w:rPr>
        <w:t>年</w:t>
      </w:r>
      <w:r w:rsidR="0068395D">
        <w:rPr>
          <w:rFonts w:ascii="宋体" w:hAnsi="宋体" w:hint="eastAsia"/>
          <w:color w:val="000000"/>
          <w:sz w:val="28"/>
          <w:szCs w:val="28"/>
        </w:rPr>
        <w:t>6</w:t>
      </w:r>
      <w:r>
        <w:rPr>
          <w:rFonts w:ascii="宋体" w:hAnsi="宋体" w:hint="eastAsia"/>
          <w:color w:val="000000"/>
          <w:sz w:val="28"/>
          <w:szCs w:val="28"/>
        </w:rPr>
        <w:t>月</w:t>
      </w:r>
      <w:r w:rsidR="0068395D">
        <w:rPr>
          <w:rFonts w:ascii="宋体" w:hAnsi="宋体" w:hint="eastAsia"/>
          <w:color w:val="000000"/>
          <w:sz w:val="28"/>
          <w:szCs w:val="28"/>
        </w:rPr>
        <w:t>5</w:t>
      </w:r>
      <w:r>
        <w:rPr>
          <w:rFonts w:ascii="宋体" w:hAnsi="宋体" w:hint="eastAsia"/>
          <w:color w:val="000000"/>
          <w:sz w:val="28"/>
          <w:szCs w:val="28"/>
        </w:rPr>
        <w:t>日</w:t>
      </w:r>
    </w:p>
    <w:p w:rsidR="00B3794A" w:rsidRPr="00371CB6" w:rsidRDefault="00B3794A" w:rsidP="001C76CF">
      <w:pPr>
        <w:widowControl/>
        <w:jc w:val="left"/>
        <w:rPr>
          <w:rFonts w:ascii="宋体" w:hAnsi="宋体"/>
          <w:color w:val="000000"/>
          <w:sz w:val="28"/>
          <w:szCs w:val="28"/>
        </w:rPr>
      </w:pPr>
      <w:bookmarkStart w:id="0" w:name="_GoBack"/>
      <w:bookmarkEnd w:id="0"/>
    </w:p>
    <w:sectPr w:rsidR="00B3794A" w:rsidRPr="00371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9C1" w:rsidRDefault="00D679C1" w:rsidP="00B3794A">
      <w:r>
        <w:separator/>
      </w:r>
    </w:p>
  </w:endnote>
  <w:endnote w:type="continuationSeparator" w:id="0">
    <w:p w:rsidR="00D679C1" w:rsidRDefault="00D679C1" w:rsidP="00B3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9C1" w:rsidRDefault="00D679C1" w:rsidP="00B3794A">
      <w:r>
        <w:separator/>
      </w:r>
    </w:p>
  </w:footnote>
  <w:footnote w:type="continuationSeparator" w:id="0">
    <w:p w:rsidR="00D679C1" w:rsidRDefault="00D679C1" w:rsidP="00B37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EC9"/>
    <w:rsid w:val="00035643"/>
    <w:rsid w:val="000A72DD"/>
    <w:rsid w:val="000A7F12"/>
    <w:rsid w:val="000F0F2A"/>
    <w:rsid w:val="001037C8"/>
    <w:rsid w:val="00135425"/>
    <w:rsid w:val="00153C80"/>
    <w:rsid w:val="001C76CF"/>
    <w:rsid w:val="001D0940"/>
    <w:rsid w:val="001D3E87"/>
    <w:rsid w:val="00221DF8"/>
    <w:rsid w:val="00226A2F"/>
    <w:rsid w:val="00236506"/>
    <w:rsid w:val="002612F5"/>
    <w:rsid w:val="0029338E"/>
    <w:rsid w:val="00297125"/>
    <w:rsid w:val="002D1EA2"/>
    <w:rsid w:val="003A4A35"/>
    <w:rsid w:val="003A6B43"/>
    <w:rsid w:val="003B3EC9"/>
    <w:rsid w:val="00452BD7"/>
    <w:rsid w:val="004B1F20"/>
    <w:rsid w:val="004E4685"/>
    <w:rsid w:val="004F3FDF"/>
    <w:rsid w:val="00507509"/>
    <w:rsid w:val="00510BCF"/>
    <w:rsid w:val="005455E2"/>
    <w:rsid w:val="00547F2E"/>
    <w:rsid w:val="00555E15"/>
    <w:rsid w:val="00644903"/>
    <w:rsid w:val="00664B97"/>
    <w:rsid w:val="00667645"/>
    <w:rsid w:val="0068395D"/>
    <w:rsid w:val="006A71B5"/>
    <w:rsid w:val="006D3A34"/>
    <w:rsid w:val="007D7172"/>
    <w:rsid w:val="007E684E"/>
    <w:rsid w:val="007F6584"/>
    <w:rsid w:val="008479F7"/>
    <w:rsid w:val="008A3C14"/>
    <w:rsid w:val="008F7B28"/>
    <w:rsid w:val="00975815"/>
    <w:rsid w:val="009A6AFC"/>
    <w:rsid w:val="00A06665"/>
    <w:rsid w:val="00A17003"/>
    <w:rsid w:val="00A250D8"/>
    <w:rsid w:val="00A66F45"/>
    <w:rsid w:val="00AF065A"/>
    <w:rsid w:val="00AF6383"/>
    <w:rsid w:val="00B06261"/>
    <w:rsid w:val="00B3794A"/>
    <w:rsid w:val="00BD69AF"/>
    <w:rsid w:val="00C37D87"/>
    <w:rsid w:val="00C421B3"/>
    <w:rsid w:val="00C57436"/>
    <w:rsid w:val="00D679C1"/>
    <w:rsid w:val="00DA3AC0"/>
    <w:rsid w:val="00DD28C6"/>
    <w:rsid w:val="00DF0291"/>
    <w:rsid w:val="00DF203A"/>
    <w:rsid w:val="00E5724C"/>
    <w:rsid w:val="00E8154C"/>
    <w:rsid w:val="00F10424"/>
    <w:rsid w:val="00F16BE8"/>
    <w:rsid w:val="00F601FE"/>
    <w:rsid w:val="00F708A2"/>
    <w:rsid w:val="00FC0044"/>
    <w:rsid w:val="00FE08CC"/>
    <w:rsid w:val="00FF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9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794A"/>
    <w:rPr>
      <w:sz w:val="18"/>
      <w:szCs w:val="18"/>
    </w:rPr>
  </w:style>
  <w:style w:type="paragraph" w:styleId="a4">
    <w:name w:val="footer"/>
    <w:basedOn w:val="a"/>
    <w:link w:val="Char0"/>
    <w:uiPriority w:val="99"/>
    <w:unhideWhenUsed/>
    <w:rsid w:val="00B37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794A"/>
    <w:rPr>
      <w:sz w:val="18"/>
      <w:szCs w:val="18"/>
    </w:rPr>
  </w:style>
  <w:style w:type="paragraph" w:styleId="a5">
    <w:name w:val="Balloon Text"/>
    <w:basedOn w:val="a"/>
    <w:link w:val="Char1"/>
    <w:uiPriority w:val="99"/>
    <w:semiHidden/>
    <w:unhideWhenUsed/>
    <w:rsid w:val="00B3794A"/>
    <w:rPr>
      <w:sz w:val="18"/>
      <w:szCs w:val="18"/>
    </w:rPr>
  </w:style>
  <w:style w:type="character" w:customStyle="1" w:styleId="Char1">
    <w:name w:val="批注框文本 Char"/>
    <w:basedOn w:val="a0"/>
    <w:link w:val="a5"/>
    <w:uiPriority w:val="99"/>
    <w:semiHidden/>
    <w:rsid w:val="00B3794A"/>
    <w:rPr>
      <w:rFonts w:ascii="Calibri" w:eastAsia="宋体" w:hAnsi="Calibri" w:cs="Times New Roman"/>
      <w:sz w:val="18"/>
      <w:szCs w:val="18"/>
    </w:rPr>
  </w:style>
  <w:style w:type="paragraph" w:styleId="a6">
    <w:name w:val="Normal (Web)"/>
    <w:basedOn w:val="a"/>
    <w:uiPriority w:val="99"/>
    <w:unhideWhenUsed/>
    <w:rsid w:val="00A17003"/>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A170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9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794A"/>
    <w:rPr>
      <w:sz w:val="18"/>
      <w:szCs w:val="18"/>
    </w:rPr>
  </w:style>
  <w:style w:type="paragraph" w:styleId="a4">
    <w:name w:val="footer"/>
    <w:basedOn w:val="a"/>
    <w:link w:val="Char0"/>
    <w:uiPriority w:val="99"/>
    <w:unhideWhenUsed/>
    <w:rsid w:val="00B37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794A"/>
    <w:rPr>
      <w:sz w:val="18"/>
      <w:szCs w:val="18"/>
    </w:rPr>
  </w:style>
  <w:style w:type="paragraph" w:styleId="a5">
    <w:name w:val="Balloon Text"/>
    <w:basedOn w:val="a"/>
    <w:link w:val="Char1"/>
    <w:uiPriority w:val="99"/>
    <w:semiHidden/>
    <w:unhideWhenUsed/>
    <w:rsid w:val="00B3794A"/>
    <w:rPr>
      <w:sz w:val="18"/>
      <w:szCs w:val="18"/>
    </w:rPr>
  </w:style>
  <w:style w:type="character" w:customStyle="1" w:styleId="Char1">
    <w:name w:val="批注框文本 Char"/>
    <w:basedOn w:val="a0"/>
    <w:link w:val="a5"/>
    <w:uiPriority w:val="99"/>
    <w:semiHidden/>
    <w:rsid w:val="00B3794A"/>
    <w:rPr>
      <w:rFonts w:ascii="Calibri" w:eastAsia="宋体" w:hAnsi="Calibri" w:cs="Times New Roman"/>
      <w:sz w:val="18"/>
      <w:szCs w:val="18"/>
    </w:rPr>
  </w:style>
  <w:style w:type="paragraph" w:styleId="a6">
    <w:name w:val="Normal (Web)"/>
    <w:basedOn w:val="a"/>
    <w:uiPriority w:val="99"/>
    <w:unhideWhenUsed/>
    <w:rsid w:val="00A17003"/>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A17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9422">
      <w:bodyDiv w:val="1"/>
      <w:marLeft w:val="0"/>
      <w:marRight w:val="0"/>
      <w:marTop w:val="0"/>
      <w:marBottom w:val="0"/>
      <w:divBdr>
        <w:top w:val="none" w:sz="0" w:space="0" w:color="auto"/>
        <w:left w:val="none" w:sz="0" w:space="0" w:color="auto"/>
        <w:bottom w:val="none" w:sz="0" w:space="0" w:color="auto"/>
        <w:right w:val="none" w:sz="0" w:space="0" w:color="auto"/>
      </w:divBdr>
    </w:div>
    <w:div w:id="65349307">
      <w:bodyDiv w:val="1"/>
      <w:marLeft w:val="0"/>
      <w:marRight w:val="0"/>
      <w:marTop w:val="0"/>
      <w:marBottom w:val="0"/>
      <w:divBdr>
        <w:top w:val="none" w:sz="0" w:space="0" w:color="auto"/>
        <w:left w:val="none" w:sz="0" w:space="0" w:color="auto"/>
        <w:bottom w:val="none" w:sz="0" w:space="0" w:color="auto"/>
        <w:right w:val="none" w:sz="0" w:space="0" w:color="auto"/>
      </w:divBdr>
    </w:div>
    <w:div w:id="241911787">
      <w:bodyDiv w:val="1"/>
      <w:marLeft w:val="0"/>
      <w:marRight w:val="0"/>
      <w:marTop w:val="0"/>
      <w:marBottom w:val="0"/>
      <w:divBdr>
        <w:top w:val="none" w:sz="0" w:space="0" w:color="auto"/>
        <w:left w:val="none" w:sz="0" w:space="0" w:color="auto"/>
        <w:bottom w:val="none" w:sz="0" w:space="0" w:color="auto"/>
        <w:right w:val="none" w:sz="0" w:space="0" w:color="auto"/>
      </w:divBdr>
    </w:div>
    <w:div w:id="459154918">
      <w:bodyDiv w:val="1"/>
      <w:marLeft w:val="0"/>
      <w:marRight w:val="0"/>
      <w:marTop w:val="0"/>
      <w:marBottom w:val="0"/>
      <w:divBdr>
        <w:top w:val="none" w:sz="0" w:space="0" w:color="auto"/>
        <w:left w:val="none" w:sz="0" w:space="0" w:color="auto"/>
        <w:bottom w:val="none" w:sz="0" w:space="0" w:color="auto"/>
        <w:right w:val="none" w:sz="0" w:space="0" w:color="auto"/>
      </w:divBdr>
    </w:div>
    <w:div w:id="521479065">
      <w:bodyDiv w:val="1"/>
      <w:marLeft w:val="0"/>
      <w:marRight w:val="0"/>
      <w:marTop w:val="0"/>
      <w:marBottom w:val="0"/>
      <w:divBdr>
        <w:top w:val="none" w:sz="0" w:space="0" w:color="auto"/>
        <w:left w:val="none" w:sz="0" w:space="0" w:color="auto"/>
        <w:bottom w:val="none" w:sz="0" w:space="0" w:color="auto"/>
        <w:right w:val="none" w:sz="0" w:space="0" w:color="auto"/>
      </w:divBdr>
    </w:div>
    <w:div w:id="554588812">
      <w:bodyDiv w:val="1"/>
      <w:marLeft w:val="0"/>
      <w:marRight w:val="0"/>
      <w:marTop w:val="0"/>
      <w:marBottom w:val="0"/>
      <w:divBdr>
        <w:top w:val="none" w:sz="0" w:space="0" w:color="auto"/>
        <w:left w:val="none" w:sz="0" w:space="0" w:color="auto"/>
        <w:bottom w:val="none" w:sz="0" w:space="0" w:color="auto"/>
        <w:right w:val="none" w:sz="0" w:space="0" w:color="auto"/>
      </w:divBdr>
    </w:div>
    <w:div w:id="695814481">
      <w:bodyDiv w:val="1"/>
      <w:marLeft w:val="0"/>
      <w:marRight w:val="0"/>
      <w:marTop w:val="0"/>
      <w:marBottom w:val="0"/>
      <w:divBdr>
        <w:top w:val="none" w:sz="0" w:space="0" w:color="auto"/>
        <w:left w:val="none" w:sz="0" w:space="0" w:color="auto"/>
        <w:bottom w:val="none" w:sz="0" w:space="0" w:color="auto"/>
        <w:right w:val="none" w:sz="0" w:space="0" w:color="auto"/>
      </w:divBdr>
    </w:div>
    <w:div w:id="838807965">
      <w:bodyDiv w:val="1"/>
      <w:marLeft w:val="0"/>
      <w:marRight w:val="0"/>
      <w:marTop w:val="0"/>
      <w:marBottom w:val="0"/>
      <w:divBdr>
        <w:top w:val="none" w:sz="0" w:space="0" w:color="auto"/>
        <w:left w:val="none" w:sz="0" w:space="0" w:color="auto"/>
        <w:bottom w:val="none" w:sz="0" w:space="0" w:color="auto"/>
        <w:right w:val="none" w:sz="0" w:space="0" w:color="auto"/>
      </w:divBdr>
    </w:div>
    <w:div w:id="868953037">
      <w:bodyDiv w:val="1"/>
      <w:marLeft w:val="0"/>
      <w:marRight w:val="0"/>
      <w:marTop w:val="0"/>
      <w:marBottom w:val="0"/>
      <w:divBdr>
        <w:top w:val="none" w:sz="0" w:space="0" w:color="auto"/>
        <w:left w:val="none" w:sz="0" w:space="0" w:color="auto"/>
        <w:bottom w:val="none" w:sz="0" w:space="0" w:color="auto"/>
        <w:right w:val="none" w:sz="0" w:space="0" w:color="auto"/>
      </w:divBdr>
    </w:div>
    <w:div w:id="1054697247">
      <w:bodyDiv w:val="1"/>
      <w:marLeft w:val="0"/>
      <w:marRight w:val="0"/>
      <w:marTop w:val="0"/>
      <w:marBottom w:val="0"/>
      <w:divBdr>
        <w:top w:val="none" w:sz="0" w:space="0" w:color="auto"/>
        <w:left w:val="none" w:sz="0" w:space="0" w:color="auto"/>
        <w:bottom w:val="none" w:sz="0" w:space="0" w:color="auto"/>
        <w:right w:val="none" w:sz="0" w:space="0" w:color="auto"/>
      </w:divBdr>
    </w:div>
    <w:div w:id="1065376937">
      <w:bodyDiv w:val="1"/>
      <w:marLeft w:val="0"/>
      <w:marRight w:val="0"/>
      <w:marTop w:val="0"/>
      <w:marBottom w:val="0"/>
      <w:divBdr>
        <w:top w:val="none" w:sz="0" w:space="0" w:color="auto"/>
        <w:left w:val="none" w:sz="0" w:space="0" w:color="auto"/>
        <w:bottom w:val="none" w:sz="0" w:space="0" w:color="auto"/>
        <w:right w:val="none" w:sz="0" w:space="0" w:color="auto"/>
      </w:divBdr>
    </w:div>
    <w:div w:id="1208686680">
      <w:bodyDiv w:val="1"/>
      <w:marLeft w:val="0"/>
      <w:marRight w:val="0"/>
      <w:marTop w:val="0"/>
      <w:marBottom w:val="0"/>
      <w:divBdr>
        <w:top w:val="none" w:sz="0" w:space="0" w:color="auto"/>
        <w:left w:val="none" w:sz="0" w:space="0" w:color="auto"/>
        <w:bottom w:val="none" w:sz="0" w:space="0" w:color="auto"/>
        <w:right w:val="none" w:sz="0" w:space="0" w:color="auto"/>
      </w:divBdr>
    </w:div>
    <w:div w:id="1291977354">
      <w:bodyDiv w:val="1"/>
      <w:marLeft w:val="0"/>
      <w:marRight w:val="0"/>
      <w:marTop w:val="0"/>
      <w:marBottom w:val="0"/>
      <w:divBdr>
        <w:top w:val="none" w:sz="0" w:space="0" w:color="auto"/>
        <w:left w:val="none" w:sz="0" w:space="0" w:color="auto"/>
        <w:bottom w:val="none" w:sz="0" w:space="0" w:color="auto"/>
        <w:right w:val="none" w:sz="0" w:space="0" w:color="auto"/>
      </w:divBdr>
    </w:div>
    <w:div w:id="1309437728">
      <w:bodyDiv w:val="1"/>
      <w:marLeft w:val="0"/>
      <w:marRight w:val="0"/>
      <w:marTop w:val="0"/>
      <w:marBottom w:val="0"/>
      <w:divBdr>
        <w:top w:val="none" w:sz="0" w:space="0" w:color="auto"/>
        <w:left w:val="none" w:sz="0" w:space="0" w:color="auto"/>
        <w:bottom w:val="none" w:sz="0" w:space="0" w:color="auto"/>
        <w:right w:val="none" w:sz="0" w:space="0" w:color="auto"/>
      </w:divBdr>
    </w:div>
    <w:div w:id="1347513487">
      <w:bodyDiv w:val="1"/>
      <w:marLeft w:val="0"/>
      <w:marRight w:val="0"/>
      <w:marTop w:val="0"/>
      <w:marBottom w:val="0"/>
      <w:divBdr>
        <w:top w:val="none" w:sz="0" w:space="0" w:color="auto"/>
        <w:left w:val="none" w:sz="0" w:space="0" w:color="auto"/>
        <w:bottom w:val="none" w:sz="0" w:space="0" w:color="auto"/>
        <w:right w:val="none" w:sz="0" w:space="0" w:color="auto"/>
      </w:divBdr>
    </w:div>
    <w:div w:id="1565262407">
      <w:bodyDiv w:val="1"/>
      <w:marLeft w:val="0"/>
      <w:marRight w:val="0"/>
      <w:marTop w:val="0"/>
      <w:marBottom w:val="0"/>
      <w:divBdr>
        <w:top w:val="none" w:sz="0" w:space="0" w:color="auto"/>
        <w:left w:val="none" w:sz="0" w:space="0" w:color="auto"/>
        <w:bottom w:val="none" w:sz="0" w:space="0" w:color="auto"/>
        <w:right w:val="none" w:sz="0" w:space="0" w:color="auto"/>
      </w:divBdr>
    </w:div>
    <w:div w:id="1631206577">
      <w:bodyDiv w:val="1"/>
      <w:marLeft w:val="0"/>
      <w:marRight w:val="0"/>
      <w:marTop w:val="0"/>
      <w:marBottom w:val="0"/>
      <w:divBdr>
        <w:top w:val="none" w:sz="0" w:space="0" w:color="auto"/>
        <w:left w:val="none" w:sz="0" w:space="0" w:color="auto"/>
        <w:bottom w:val="none" w:sz="0" w:space="0" w:color="auto"/>
        <w:right w:val="none" w:sz="0" w:space="0" w:color="auto"/>
      </w:divBdr>
    </w:div>
    <w:div w:id="1690986072">
      <w:bodyDiv w:val="1"/>
      <w:marLeft w:val="0"/>
      <w:marRight w:val="0"/>
      <w:marTop w:val="0"/>
      <w:marBottom w:val="0"/>
      <w:divBdr>
        <w:top w:val="none" w:sz="0" w:space="0" w:color="auto"/>
        <w:left w:val="none" w:sz="0" w:space="0" w:color="auto"/>
        <w:bottom w:val="none" w:sz="0" w:space="0" w:color="auto"/>
        <w:right w:val="none" w:sz="0" w:space="0" w:color="auto"/>
      </w:divBdr>
    </w:div>
    <w:div w:id="1774664718">
      <w:bodyDiv w:val="1"/>
      <w:marLeft w:val="0"/>
      <w:marRight w:val="0"/>
      <w:marTop w:val="0"/>
      <w:marBottom w:val="0"/>
      <w:divBdr>
        <w:top w:val="none" w:sz="0" w:space="0" w:color="auto"/>
        <w:left w:val="none" w:sz="0" w:space="0" w:color="auto"/>
        <w:bottom w:val="none" w:sz="0" w:space="0" w:color="auto"/>
        <w:right w:val="none" w:sz="0" w:space="0" w:color="auto"/>
      </w:divBdr>
      <w:divsChild>
        <w:div w:id="475144604">
          <w:marLeft w:val="0"/>
          <w:marRight w:val="0"/>
          <w:marTop w:val="600"/>
          <w:marBottom w:val="900"/>
          <w:divBdr>
            <w:top w:val="none" w:sz="0" w:space="0" w:color="auto"/>
            <w:left w:val="none" w:sz="0" w:space="0" w:color="auto"/>
            <w:bottom w:val="none" w:sz="0" w:space="0" w:color="auto"/>
            <w:right w:val="none" w:sz="0" w:space="0" w:color="auto"/>
          </w:divBdr>
          <w:divsChild>
            <w:div w:id="296496509">
              <w:marLeft w:val="0"/>
              <w:marRight w:val="0"/>
              <w:marTop w:val="0"/>
              <w:marBottom w:val="0"/>
              <w:divBdr>
                <w:top w:val="none" w:sz="0" w:space="0" w:color="auto"/>
                <w:left w:val="none" w:sz="0" w:space="0" w:color="auto"/>
                <w:bottom w:val="none" w:sz="0" w:space="0" w:color="auto"/>
                <w:right w:val="single" w:sz="6" w:space="30" w:color="EEEEEE"/>
              </w:divBdr>
              <w:divsChild>
                <w:div w:id="15668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531&#25353;&#21608;&#25259;&#38706;\2018&#24180;5&#26376;31&#26085;&#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531&#25353;&#21608;&#25259;&#38706;\2018&#24180;5&#26376;31&#26085;&#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531&#25353;&#21608;&#25259;&#38706;\2018&#24180;5&#26376;31&#26085;&#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8387626177231453E-2"/>
          <c:y val="4.9315480902241582E-2"/>
          <c:w val="0.64143870576399575"/>
          <c:h val="0.8420397241680011"/>
        </c:manualLayout>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'2018年5月'!$A$249:$A$250</c:f>
              <c:strCache>
                <c:ptCount val="2"/>
                <c:pt idx="0">
                  <c:v>现金及债券类</c:v>
                </c:pt>
                <c:pt idx="1">
                  <c:v>融资类</c:v>
                </c:pt>
              </c:strCache>
            </c:strRef>
          </c:cat>
          <c:val>
            <c:numRef>
              <c:f>'2018年5月'!$B$249:$B$250</c:f>
              <c:numCache>
                <c:formatCode>0.00%</c:formatCode>
                <c:ptCount val="2"/>
                <c:pt idx="0">
                  <c:v>1.7243160336755214E-3</c:v>
                </c:pt>
                <c:pt idx="1">
                  <c:v>0.99827568396550992</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Pt>
            <c:idx val="2"/>
            <c:bubble3D val="0"/>
          </c:dPt>
          <c:dPt>
            <c:idx val="3"/>
            <c:bubble3D val="0"/>
          </c:dPt>
          <c:dPt>
            <c:idx val="4"/>
            <c:bubble3D val="0"/>
          </c:dPt>
          <c:dPt>
            <c:idx val="5"/>
            <c:bubble3D val="0"/>
          </c:dPt>
          <c:dLbls>
            <c:showLegendKey val="0"/>
            <c:showVal val="1"/>
            <c:showCatName val="0"/>
            <c:showSerName val="0"/>
            <c:showPercent val="0"/>
            <c:showBubbleSize val="0"/>
            <c:showLeaderLines val="1"/>
          </c:dLbls>
          <c:cat>
            <c:strRef>
              <c:f>'2018年5月'!$A$258:$A$263</c:f>
              <c:strCache>
                <c:ptCount val="6"/>
                <c:pt idx="0">
                  <c:v>A </c:v>
                </c:pt>
                <c:pt idx="1">
                  <c:v>AA</c:v>
                </c:pt>
                <c:pt idx="2">
                  <c:v>AA-</c:v>
                </c:pt>
                <c:pt idx="3">
                  <c:v>AA+</c:v>
                </c:pt>
                <c:pt idx="4">
                  <c:v>AAA</c:v>
                </c:pt>
                <c:pt idx="5">
                  <c:v>无</c:v>
                </c:pt>
              </c:strCache>
            </c:strRef>
          </c:cat>
          <c:val>
            <c:numRef>
              <c:f>'2018年5月'!$B$258:$B$263</c:f>
              <c:numCache>
                <c:formatCode>0.00%</c:formatCode>
                <c:ptCount val="6"/>
                <c:pt idx="0">
                  <c:v>8.0600000000000005E-2</c:v>
                </c:pt>
                <c:pt idx="1">
                  <c:v>0.18455678345437834</c:v>
                </c:pt>
                <c:pt idx="2">
                  <c:v>0.31662978185570495</c:v>
                </c:pt>
                <c:pt idx="3">
                  <c:v>0.11993552343019127</c:v>
                </c:pt>
                <c:pt idx="4">
                  <c:v>0.22397614545764929</c:v>
                </c:pt>
                <c:pt idx="5">
                  <c:v>7.430509405698757E-2</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2093175853018373E-2"/>
          <c:y val="1.2031655842006743E-2"/>
          <c:w val="0.93884936257967755"/>
          <c:h val="0.83294286344986623"/>
        </c:manualLayout>
      </c:layout>
      <c:barChart>
        <c:barDir val="bar"/>
        <c:grouping val="clustered"/>
        <c:varyColors val="0"/>
        <c:ser>
          <c:idx val="0"/>
          <c:order val="0"/>
          <c:tx>
            <c:strRef>
              <c:f>'2018年5月'!$B$266</c:f>
              <c:strCache>
                <c:ptCount val="1"/>
                <c:pt idx="0">
                  <c:v>5月各行业</c:v>
                </c:pt>
              </c:strCache>
            </c:strRef>
          </c:tx>
          <c:invertIfNegative val="0"/>
          <c:cat>
            <c:strRef>
              <c:f>'2018年5月'!$A$267:$A$274</c:f>
              <c:strCache>
                <c:ptCount val="8"/>
                <c:pt idx="0">
                  <c:v>电力、热力、燃气及水的生产和供应业</c:v>
                </c:pt>
                <c:pt idx="1">
                  <c:v>建筑业</c:v>
                </c:pt>
                <c:pt idx="2">
                  <c:v>批发和零售业</c:v>
                </c:pt>
                <c:pt idx="3">
                  <c:v>水利、环境和公共设施管理业</c:v>
                </c:pt>
                <c:pt idx="4">
                  <c:v>制造业</c:v>
                </c:pt>
                <c:pt idx="5">
                  <c:v>综合</c:v>
                </c:pt>
                <c:pt idx="6">
                  <c:v>租赁和商务服务业</c:v>
                </c:pt>
                <c:pt idx="7">
                  <c:v>金融业</c:v>
                </c:pt>
              </c:strCache>
            </c:strRef>
          </c:cat>
          <c:val>
            <c:numRef>
              <c:f>'2018年5月'!$B$267:$B$274</c:f>
              <c:numCache>
                <c:formatCode>0.00%</c:formatCode>
                <c:ptCount val="8"/>
                <c:pt idx="0">
                  <c:v>7.1961314058114761E-2</c:v>
                </c:pt>
                <c:pt idx="1">
                  <c:v>0.18613993236365686</c:v>
                </c:pt>
                <c:pt idx="2">
                  <c:v>0</c:v>
                </c:pt>
                <c:pt idx="3">
                  <c:v>3.358194656045356E-2</c:v>
                </c:pt>
                <c:pt idx="4">
                  <c:v>0.19189683748830605</c:v>
                </c:pt>
                <c:pt idx="5">
                  <c:v>4.7974209372076512E-2</c:v>
                </c:pt>
                <c:pt idx="6">
                  <c:v>0.46844576015739225</c:v>
                </c:pt>
                <c:pt idx="7">
                  <c:v>0</c:v>
                </c:pt>
              </c:numCache>
            </c:numRef>
          </c:val>
        </c:ser>
        <c:ser>
          <c:idx val="1"/>
          <c:order val="1"/>
          <c:tx>
            <c:strRef>
              <c:f>'2018年5月'!$C$266</c:f>
              <c:strCache>
                <c:ptCount val="1"/>
                <c:pt idx="0">
                  <c:v>4月各行业</c:v>
                </c:pt>
              </c:strCache>
            </c:strRef>
          </c:tx>
          <c:invertIfNegative val="0"/>
          <c:cat>
            <c:strRef>
              <c:f>'2018年5月'!$A$267:$A$274</c:f>
              <c:strCache>
                <c:ptCount val="8"/>
                <c:pt idx="0">
                  <c:v>电力、热力、燃气及水的生产和供应业</c:v>
                </c:pt>
                <c:pt idx="1">
                  <c:v>建筑业</c:v>
                </c:pt>
                <c:pt idx="2">
                  <c:v>批发和零售业</c:v>
                </c:pt>
                <c:pt idx="3">
                  <c:v>水利、环境和公共设施管理业</c:v>
                </c:pt>
                <c:pt idx="4">
                  <c:v>制造业</c:v>
                </c:pt>
                <c:pt idx="5">
                  <c:v>综合</c:v>
                </c:pt>
                <c:pt idx="6">
                  <c:v>租赁和商务服务业</c:v>
                </c:pt>
                <c:pt idx="7">
                  <c:v>金融业</c:v>
                </c:pt>
              </c:strCache>
            </c:strRef>
          </c:cat>
          <c:val>
            <c:numRef>
              <c:f>'2018年5月'!$C$267:$C$274</c:f>
              <c:numCache>
                <c:formatCode>0.00%</c:formatCode>
                <c:ptCount val="8"/>
                <c:pt idx="0">
                  <c:v>8.7433707034712052E-2</c:v>
                </c:pt>
                <c:pt idx="1">
                  <c:v>0.25530642454135921</c:v>
                </c:pt>
                <c:pt idx="2">
                  <c:v>0</c:v>
                </c:pt>
                <c:pt idx="3">
                  <c:v>2.9144569011570684E-2</c:v>
                </c:pt>
                <c:pt idx="4">
                  <c:v>0.23315655209256547</c:v>
                </c:pt>
                <c:pt idx="5">
                  <c:v>5.8289138023141368E-2</c:v>
                </c:pt>
                <c:pt idx="6">
                  <c:v>0.23174916085499672</c:v>
                </c:pt>
                <c:pt idx="7">
                  <c:v>0.10492044844165446</c:v>
                </c:pt>
              </c:numCache>
            </c:numRef>
          </c:val>
        </c:ser>
        <c:ser>
          <c:idx val="2"/>
          <c:order val="2"/>
          <c:tx>
            <c:strRef>
              <c:f>'2018年5月'!$D$266</c:f>
              <c:strCache>
                <c:ptCount val="1"/>
                <c:pt idx="0">
                  <c:v>行业变化</c:v>
                </c:pt>
              </c:strCache>
            </c:strRef>
          </c:tx>
          <c:invertIfNegative val="0"/>
          <c:cat>
            <c:strRef>
              <c:f>'2018年5月'!$A$267:$A$274</c:f>
              <c:strCache>
                <c:ptCount val="8"/>
                <c:pt idx="0">
                  <c:v>电力、热力、燃气及水的生产和供应业</c:v>
                </c:pt>
                <c:pt idx="1">
                  <c:v>建筑业</c:v>
                </c:pt>
                <c:pt idx="2">
                  <c:v>批发和零售业</c:v>
                </c:pt>
                <c:pt idx="3">
                  <c:v>水利、环境和公共设施管理业</c:v>
                </c:pt>
                <c:pt idx="4">
                  <c:v>制造业</c:v>
                </c:pt>
                <c:pt idx="5">
                  <c:v>综合</c:v>
                </c:pt>
                <c:pt idx="6">
                  <c:v>租赁和商务服务业</c:v>
                </c:pt>
                <c:pt idx="7">
                  <c:v>金融业</c:v>
                </c:pt>
              </c:strCache>
            </c:strRef>
          </c:cat>
          <c:val>
            <c:numRef>
              <c:f>'2018年5月'!$D$267:$D$274</c:f>
              <c:numCache>
                <c:formatCode>0.00%</c:formatCode>
                <c:ptCount val="8"/>
                <c:pt idx="0">
                  <c:v>-1.5472392976597291E-2</c:v>
                </c:pt>
                <c:pt idx="1">
                  <c:v>-6.9166492177702349E-2</c:v>
                </c:pt>
                <c:pt idx="2">
                  <c:v>0</c:v>
                </c:pt>
                <c:pt idx="3">
                  <c:v>4.4373775488828759E-3</c:v>
                </c:pt>
                <c:pt idx="4">
                  <c:v>-4.1259714604259423E-2</c:v>
                </c:pt>
                <c:pt idx="5">
                  <c:v>-1.0314928651064856E-2</c:v>
                </c:pt>
                <c:pt idx="6">
                  <c:v>0.23669659930239553</c:v>
                </c:pt>
                <c:pt idx="7">
                  <c:v>-0.10492044844165446</c:v>
                </c:pt>
              </c:numCache>
            </c:numRef>
          </c:val>
        </c:ser>
        <c:dLbls>
          <c:showLegendKey val="0"/>
          <c:showVal val="0"/>
          <c:showCatName val="0"/>
          <c:showSerName val="0"/>
          <c:showPercent val="0"/>
          <c:showBubbleSize val="0"/>
        </c:dLbls>
        <c:gapWidth val="150"/>
        <c:axId val="86705664"/>
        <c:axId val="86707200"/>
      </c:barChart>
      <c:catAx>
        <c:axId val="86705664"/>
        <c:scaling>
          <c:orientation val="minMax"/>
        </c:scaling>
        <c:delete val="0"/>
        <c:axPos val="l"/>
        <c:numFmt formatCode="General" sourceLinked="1"/>
        <c:majorTickMark val="out"/>
        <c:minorTickMark val="none"/>
        <c:tickLblPos val="nextTo"/>
        <c:txPr>
          <a:bodyPr/>
          <a:lstStyle/>
          <a:p>
            <a:pPr>
              <a:defRPr sz="800" baseline="0"/>
            </a:pPr>
            <a:endParaRPr lang="zh-CN"/>
          </a:p>
        </c:txPr>
        <c:crossAx val="86707200"/>
        <c:crosses val="autoZero"/>
        <c:auto val="1"/>
        <c:lblAlgn val="ctr"/>
        <c:lblOffset val="100"/>
        <c:noMultiLvlLbl val="0"/>
      </c:catAx>
      <c:valAx>
        <c:axId val="86707200"/>
        <c:scaling>
          <c:orientation val="minMax"/>
          <c:max val="0.30000000000000004"/>
          <c:min val="-0.15000000000000002"/>
        </c:scaling>
        <c:delete val="0"/>
        <c:axPos val="b"/>
        <c:majorGridlines/>
        <c:numFmt formatCode="0%" sourceLinked="0"/>
        <c:majorTickMark val="out"/>
        <c:minorTickMark val="none"/>
        <c:tickLblPos val="nextTo"/>
        <c:crossAx val="86705664"/>
        <c:crosses val="autoZero"/>
        <c:crossBetween val="between"/>
        <c:majorUnit val="5.000000000000001E-2"/>
      </c:valAx>
    </c:plotArea>
    <c:legend>
      <c:legendPos val="r"/>
      <c:layout>
        <c:manualLayout>
          <c:xMode val="edge"/>
          <c:yMode val="edge"/>
          <c:x val="0.82186820397450322"/>
          <c:y val="0.40566929133858265"/>
          <c:w val="0.16903152730908633"/>
          <c:h val="0.2513795350049329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陈策</cp:lastModifiedBy>
  <cp:revision>3</cp:revision>
  <dcterms:created xsi:type="dcterms:W3CDTF">2018-06-04T08:21:00Z</dcterms:created>
  <dcterms:modified xsi:type="dcterms:W3CDTF">2018-06-04T08:21:00Z</dcterms:modified>
</cp:coreProperties>
</file>